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color w:val="000000" w:themeColor="text1"/>
          <w:sz w:val="48"/>
        </w:rPr>
      </w:pPr>
      <w:r>
        <w:rPr>
          <w:rFonts w:hint="eastAsia" w:ascii="ＭＳ Ｐゴシック" w:hAnsi="ＭＳ Ｐゴシック" w:eastAsia="ＭＳ Ｐゴシック"/>
          <w:sz w:val="48"/>
        </w:rPr>
        <w:t>建　築　工　事</w:t>
      </w:r>
      <w:r>
        <w:rPr>
          <w:rFonts w:hint="default" w:ascii="ＭＳ Ｐゴシック" w:hAnsi="ＭＳ Ｐゴシック" w:eastAsia="ＭＳ Ｐゴシック"/>
          <w:sz w:val="48"/>
        </w:rPr>
        <w:t xml:space="preserve"> </w:t>
      </w:r>
      <w:r>
        <w:rPr>
          <w:rFonts w:hint="eastAsia" w:ascii="ＭＳ Ｐゴシック" w:hAnsi="ＭＳ Ｐゴシック" w:eastAsia="ＭＳ Ｐゴシック"/>
          <w:sz w:val="48"/>
        </w:rPr>
        <w:t>仕</w:t>
      </w:r>
      <w:r>
        <w:rPr>
          <w:rFonts w:hint="default" w:ascii="ＭＳ Ｐゴシック" w:hAnsi="ＭＳ Ｐゴシック" w:eastAsia="ＭＳ Ｐゴシック"/>
          <w:sz w:val="48"/>
        </w:rPr>
        <w:t xml:space="preserve"> </w:t>
      </w:r>
      <w:r>
        <w:rPr>
          <w:rFonts w:hint="eastAsia" w:ascii="ＭＳ Ｐゴシック" w:hAnsi="ＭＳ Ｐゴシック" w:eastAsia="ＭＳ Ｐゴシック"/>
          <w:sz w:val="48"/>
        </w:rPr>
        <w:t>様</w:t>
      </w:r>
      <w:r>
        <w:rPr>
          <w:rFonts w:hint="default" w:ascii="ＭＳ Ｐゴシック" w:hAnsi="ＭＳ Ｐゴシック" w:eastAsia="ＭＳ Ｐゴシック"/>
          <w:sz w:val="48"/>
        </w:rPr>
        <w:t xml:space="preserve"> </w:t>
      </w:r>
      <w:r>
        <w:rPr>
          <w:rFonts w:hint="eastAsia" w:ascii="ＭＳ Ｐゴシック" w:hAnsi="ＭＳ Ｐゴシック" w:eastAsia="ＭＳ Ｐゴシック"/>
          <w:sz w:val="48"/>
        </w:rPr>
        <w:t>書（解体プロポ用）</w:t>
      </w:r>
    </w:p>
    <w:p>
      <w:pPr>
        <w:pStyle w:val="0"/>
        <w:spacing w:line="360" w:lineRule="exact"/>
        <w:rPr>
          <w:rFonts w:hint="default" w:ascii="ＭＳ Ｐゴシック" w:hAnsi="ＭＳ Ｐゴシック" w:eastAsia="ＭＳ Ｐゴシック"/>
          <w:b w:val="1"/>
          <w:sz w:val="28"/>
        </w:rPr>
      </w:pPr>
      <w:r>
        <w:rPr>
          <w:rFonts w:hint="eastAsia" w:ascii="ＭＳ Ｐゴシック" w:hAnsi="ＭＳ Ｐゴシック" w:eastAsia="ＭＳ Ｐゴシック"/>
          <w:b w:val="1"/>
          <w:sz w:val="28"/>
        </w:rPr>
        <w:t>Ⅰ</w:t>
      </w:r>
      <w:r>
        <w:rPr>
          <w:rFonts w:hint="eastAsia" w:ascii="ＭＳ Ｐゴシック" w:hAnsi="ＭＳ Ｐゴシック" w:eastAsia="ＭＳ Ｐゴシック"/>
          <w:b w:val="1"/>
          <w:sz w:val="28"/>
        </w:rPr>
        <w:t>.</w:t>
      </w:r>
      <w:r>
        <w:rPr>
          <w:rFonts w:hint="eastAsia" w:ascii="ＭＳ Ｐゴシック" w:hAnsi="ＭＳ Ｐゴシック" w:eastAsia="ＭＳ Ｐゴシック"/>
          <w:b w:val="1"/>
          <w:sz w:val="28"/>
        </w:rPr>
        <w:t>共通仕様</w:t>
      </w:r>
    </w:p>
    <w:p>
      <w:pPr>
        <w:pStyle w:val="0"/>
        <w:spacing w:line="360" w:lineRule="exact"/>
        <w:ind w:firstLine="500" w:firstLineChars="200"/>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１．工事仕様について</w:t>
      </w:r>
    </w:p>
    <w:p>
      <w:pPr>
        <w:pStyle w:val="0"/>
        <w:spacing w:line="360" w:lineRule="exact"/>
        <w:ind w:left="658" w:leftChars="300" w:firstLine="229" w:firstLineChars="100"/>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工事仕様書に記載されていない事項は、国土交通省大臣官房官庁営繕部監修の「</w:t>
      </w:r>
      <w:r>
        <w:rPr>
          <w:rFonts w:hint="eastAsia" w:ascii="ＭＳ Ｐゴシック" w:hAnsi="ＭＳ Ｐゴシック" w:eastAsia="ＭＳ Ｐゴシック"/>
          <w:b w:val="1"/>
          <w:color w:val="000000" w:themeColor="text1"/>
          <w:sz w:val="22"/>
        </w:rPr>
        <w:t>建築物解体工事共通仕様書</w:t>
      </w:r>
      <w:r>
        <w:rPr>
          <w:rFonts w:hint="eastAsia" w:ascii="ＭＳ Ｐゴシック" w:hAnsi="ＭＳ Ｐゴシック" w:eastAsia="ＭＳ Ｐゴシック"/>
          <w:color w:val="000000" w:themeColor="text1"/>
          <w:sz w:val="22"/>
        </w:rPr>
        <w:t>」により施工するものとする。</w:t>
      </w:r>
    </w:p>
    <w:p>
      <w:pPr>
        <w:pStyle w:val="0"/>
        <w:spacing w:line="360" w:lineRule="exact"/>
        <w:ind w:left="658" w:leftChars="300" w:firstLine="229" w:firstLineChars="100"/>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最新情報及び改訂版等の管理は適宜行い、内容等に疑義が生じた場合は、監督職員と協議すること。</w:t>
      </w:r>
    </w:p>
    <w:p>
      <w:pPr>
        <w:pStyle w:val="0"/>
        <w:spacing w:line="360" w:lineRule="exact"/>
        <w:ind w:left="688" w:hanging="688" w:hangingChars="300"/>
        <w:rPr>
          <w:rFonts w:hint="eastAsia" w:ascii="ＭＳ Ｐゴシック" w:hAnsi="ＭＳ Ｐゴシック" w:eastAsia="ＭＳ Ｐゴシック"/>
          <w:color w:val="000000" w:themeColor="text1"/>
          <w:sz w:val="22"/>
        </w:rPr>
      </w:pPr>
    </w:p>
    <w:p>
      <w:pPr>
        <w:pStyle w:val="0"/>
        <w:spacing w:line="360" w:lineRule="exact"/>
        <w:ind w:left="469" w:leftChars="214"/>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２．　資材の購入及び下請負業者の選定について</w:t>
      </w:r>
    </w:p>
    <w:p>
      <w:pPr>
        <w:pStyle w:val="0"/>
        <w:spacing w:line="360" w:lineRule="exact"/>
        <w:ind w:left="1320" w:leftChars="421" w:hanging="397" w:hangingChars="173"/>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（１）下請負業者の選定に当っては、市内業者を優先的に使用するよう努めること。</w:t>
      </w:r>
    </w:p>
    <w:p>
      <w:pPr>
        <w:pStyle w:val="0"/>
        <w:spacing w:line="360" w:lineRule="exact"/>
        <w:ind w:left="1320" w:leftChars="421" w:hanging="397" w:hangingChars="173"/>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（２）一次下請業者に対する工事代金の支払いは、速やかに現金又は９０日以内の手形で行うものとする。</w:t>
      </w:r>
    </w:p>
    <w:p>
      <w:pPr>
        <w:pStyle w:val="0"/>
        <w:spacing w:line="360" w:lineRule="exact"/>
        <w:ind w:left="458" w:hanging="458" w:hangingChars="200"/>
        <w:rPr>
          <w:rFonts w:hint="eastAsia" w:ascii="ＭＳ Ｐゴシック" w:hAnsi="ＭＳ Ｐゴシック" w:eastAsia="ＭＳ Ｐゴシック"/>
          <w:color w:val="000000" w:themeColor="text1"/>
          <w:sz w:val="22"/>
        </w:rPr>
      </w:pPr>
    </w:p>
    <w:p>
      <w:pPr>
        <w:pStyle w:val="0"/>
        <w:spacing w:line="360" w:lineRule="exact"/>
        <w:ind w:firstLine="500" w:firstLineChars="200"/>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b w:val="1"/>
          <w:color w:val="000000" w:themeColor="text1"/>
          <w:sz w:val="24"/>
        </w:rPr>
        <w:t>３．　成果品の電子納品について</w:t>
      </w:r>
    </w:p>
    <w:p>
      <w:pPr>
        <w:pStyle w:val="0"/>
        <w:spacing w:line="360" w:lineRule="exact"/>
        <w:ind w:left="0" w:leftChars="0" w:firstLine="917" w:firstLineChars="400"/>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請負者は、原則として成果品の電子納品を実施しなければならない。電子納品に当っては、『鹿沼市電子納品運用ガイドライン』を遵守すること。</w:t>
      </w:r>
    </w:p>
    <w:p>
      <w:pPr>
        <w:pStyle w:val="0"/>
        <w:spacing w:line="360" w:lineRule="exact"/>
        <w:ind w:left="917" w:hanging="917" w:hangingChars="400"/>
        <w:rPr>
          <w:rFonts w:hint="eastAsia" w:ascii="ＭＳ Ｐゴシック" w:hAnsi="ＭＳ Ｐゴシック" w:eastAsia="ＭＳ Ｐゴシック"/>
          <w:color w:val="000000" w:themeColor="text1"/>
          <w:sz w:val="22"/>
        </w:rPr>
      </w:pPr>
    </w:p>
    <w:p>
      <w:pPr>
        <w:pStyle w:val="0"/>
        <w:spacing w:line="360" w:lineRule="exact"/>
        <w:ind w:firstLine="500" w:firstLineChars="2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４．工事看板の設置基準について</w:t>
      </w:r>
    </w:p>
    <w:p>
      <w:pPr>
        <w:pStyle w:val="0"/>
        <w:spacing w:line="360" w:lineRule="exact"/>
        <w:ind w:firstLine="460" w:firstLineChars="200"/>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b w:val="1"/>
          <w:color w:val="000000" w:themeColor="text1"/>
          <w:sz w:val="22"/>
        </w:rPr>
        <w:t>　　　</w:t>
      </w:r>
      <w:r>
        <w:rPr>
          <w:rFonts w:hint="eastAsia" w:ascii="ＭＳ Ｐゴシック" w:hAnsi="ＭＳ Ｐゴシック" w:eastAsia="ＭＳ Ｐゴシック"/>
          <w:color w:val="000000" w:themeColor="text1"/>
          <w:sz w:val="22"/>
        </w:rPr>
        <w:t>工事看板の設置は鹿沼市財務部契約検査課</w:t>
      </w:r>
      <w:r>
        <w:rPr>
          <w:rFonts w:hint="eastAsia" w:ascii="ＭＳ Ｐゴシック" w:hAnsi="ＭＳ Ｐゴシック" w:eastAsia="ＭＳ Ｐゴシック"/>
          <w:color w:val="000000" w:themeColor="text1"/>
          <w:sz w:val="22"/>
        </w:rPr>
        <w:t>HP</w:t>
      </w:r>
      <w:r>
        <w:rPr>
          <w:rFonts w:hint="eastAsia" w:ascii="ＭＳ Ｐゴシック" w:hAnsi="ＭＳ Ｐゴシック" w:eastAsia="ＭＳ Ｐゴシック"/>
          <w:color w:val="000000" w:themeColor="text1"/>
          <w:sz w:val="22"/>
        </w:rPr>
        <w:t>更新履歴（</w:t>
      </w:r>
      <w:r>
        <w:rPr>
          <w:rFonts w:hint="eastAsia" w:ascii="ＭＳ Ｐゴシック" w:hAnsi="ＭＳ Ｐゴシック" w:eastAsia="ＭＳ Ｐゴシック"/>
          <w:color w:val="000000" w:themeColor="text1"/>
          <w:sz w:val="22"/>
        </w:rPr>
        <w:t>2007</w:t>
      </w:r>
      <w:r>
        <w:rPr>
          <w:rFonts w:hint="eastAsia" w:ascii="ＭＳ Ｐゴシック" w:hAnsi="ＭＳ Ｐゴシック" w:eastAsia="ＭＳ Ｐゴシック"/>
          <w:color w:val="000000" w:themeColor="text1"/>
          <w:sz w:val="22"/>
        </w:rPr>
        <w:t>年</w:t>
      </w:r>
      <w:r>
        <w:rPr>
          <w:rFonts w:hint="eastAsia" w:ascii="ＭＳ Ｐゴシック" w:hAnsi="ＭＳ Ｐゴシック" w:eastAsia="ＭＳ Ｐゴシック"/>
          <w:color w:val="000000" w:themeColor="text1"/>
          <w:sz w:val="22"/>
        </w:rPr>
        <w:t>12</w:t>
      </w:r>
      <w:r>
        <w:rPr>
          <w:rFonts w:hint="eastAsia" w:ascii="ＭＳ Ｐゴシック" w:hAnsi="ＭＳ Ｐゴシック" w:eastAsia="ＭＳ Ｐゴシック"/>
          <w:color w:val="000000" w:themeColor="text1"/>
          <w:sz w:val="22"/>
        </w:rPr>
        <w:t>月</w:t>
      </w:r>
      <w:r>
        <w:rPr>
          <w:rFonts w:hint="eastAsia" w:ascii="ＭＳ Ｐゴシック" w:hAnsi="ＭＳ Ｐゴシック" w:eastAsia="ＭＳ Ｐゴシック"/>
          <w:color w:val="000000" w:themeColor="text1"/>
          <w:sz w:val="22"/>
        </w:rPr>
        <w:t>18</w:t>
      </w:r>
      <w:r>
        <w:rPr>
          <w:rFonts w:hint="eastAsia" w:ascii="ＭＳ Ｐゴシック" w:hAnsi="ＭＳ Ｐゴシック" w:eastAsia="ＭＳ Ｐゴシック"/>
          <w:color w:val="000000" w:themeColor="text1"/>
          <w:sz w:val="22"/>
        </w:rPr>
        <w:t>日付）を参照すること。</w:t>
      </w:r>
    </w:p>
    <w:p>
      <w:pPr>
        <w:pStyle w:val="0"/>
        <w:spacing w:line="360" w:lineRule="exact"/>
        <w:ind w:firstLine="460" w:firstLineChars="200"/>
        <w:rPr>
          <w:rFonts w:hint="default" w:ascii="ＭＳ Ｐゴシック" w:hAnsi="ＭＳ Ｐゴシック" w:eastAsia="ＭＳ Ｐゴシック"/>
          <w:color w:val="000000" w:themeColor="text1"/>
          <w:sz w:val="22"/>
        </w:rPr>
      </w:pPr>
    </w:p>
    <w:p>
      <w:pPr>
        <w:pStyle w:val="0"/>
        <w:spacing w:line="360" w:lineRule="exact"/>
        <w:ind w:firstLine="500" w:firstLineChars="20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sz w:val="24"/>
        </w:rPr>
        <w:t>５．提出書類</w:t>
      </w:r>
    </w:p>
    <w:p>
      <w:pPr>
        <w:pStyle w:val="0"/>
        <w:spacing w:line="360" w:lineRule="exact"/>
        <w:ind w:left="917"/>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請負者は、工事資料の作成にあたって</w:t>
      </w:r>
      <w:r>
        <w:rPr>
          <w:rFonts w:hint="eastAsia" w:ascii="ＭＳ Ｐゴシック" w:hAnsi="ＭＳ Ｐゴシック" w:eastAsia="ＭＳ Ｐゴシック"/>
          <w:color w:val="000000" w:themeColor="text1"/>
          <w:sz w:val="22"/>
          <w:u w:val="single" w:color="auto"/>
        </w:rPr>
        <w:t>別紙の鹿沼市工事資料一覧表</w:t>
      </w:r>
      <w:r>
        <w:rPr>
          <w:rFonts w:hint="eastAsia" w:ascii="ＭＳ Ｐゴシック" w:hAnsi="ＭＳ Ｐゴシック" w:eastAsia="ＭＳ Ｐゴシック"/>
          <w:color w:val="000000" w:themeColor="text1"/>
          <w:sz w:val="22"/>
        </w:rPr>
        <w:t>を参照すること。</w:t>
      </w:r>
    </w:p>
    <w:p>
      <w:pPr>
        <w:pStyle w:val="0"/>
        <w:spacing w:line="360" w:lineRule="exact"/>
        <w:ind w:leftChars="0" w:firstLine="0" w:firstLineChars="0"/>
        <w:rPr>
          <w:rFonts w:hint="default" w:ascii="ＭＳ Ｐゴシック" w:hAnsi="ＭＳ Ｐゴシック" w:eastAsia="ＭＳ Ｐゴシック"/>
          <w:color w:val="000000" w:themeColor="text1"/>
          <w:sz w:val="22"/>
        </w:rPr>
      </w:pPr>
    </w:p>
    <w:p>
      <w:pPr>
        <w:pStyle w:val="0"/>
        <w:spacing w:line="360" w:lineRule="exact"/>
        <w:ind w:leftChars="0" w:firstLine="0" w:firstLineChars="0"/>
        <w:rPr>
          <w:rFonts w:hint="eastAsia" w:ascii="ＭＳ Ｐゴシック" w:hAnsi="ＭＳ Ｐゴシック" w:eastAsia="ＭＳ Ｐゴシック"/>
          <w:color w:val="000000" w:themeColor="text1"/>
          <w:sz w:val="22"/>
        </w:rPr>
      </w:pPr>
    </w:p>
    <w:p>
      <w:pPr>
        <w:pStyle w:val="0"/>
        <w:spacing w:line="360" w:lineRule="exact"/>
        <w:ind w:firstLine="290" w:firstLineChars="100"/>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28"/>
        </w:rPr>
        <w:t>Ⅱ</w:t>
      </w:r>
      <w:r>
        <w:rPr>
          <w:rFonts w:hint="eastAsia" w:ascii="ＭＳ Ｐゴシック" w:hAnsi="ＭＳ Ｐゴシック" w:eastAsia="ＭＳ Ｐゴシック"/>
          <w:b w:val="1"/>
          <w:color w:val="000000" w:themeColor="text1"/>
          <w:sz w:val="28"/>
        </w:rPr>
        <w:t>.</w:t>
      </w:r>
      <w:r>
        <w:rPr>
          <w:rFonts w:hint="eastAsia" w:ascii="ＭＳ Ｐゴシック" w:hAnsi="ＭＳ Ｐゴシック" w:eastAsia="ＭＳ Ｐゴシック"/>
          <w:b w:val="1"/>
          <w:color w:val="000000" w:themeColor="text1"/>
          <w:sz w:val="28"/>
        </w:rPr>
        <w:t>特記仕様</w:t>
      </w:r>
    </w:p>
    <w:p>
      <w:pPr>
        <w:pStyle w:val="0"/>
        <w:spacing w:line="360" w:lineRule="exact"/>
        <w:ind w:left="0" w:leftChars="0" w:firstLine="498" w:firstLineChars="200"/>
        <w:rPr>
          <w:rFonts w:hint="default"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１．法定外の労災保険の付保</w:t>
      </w:r>
    </w:p>
    <w:p>
      <w:pPr>
        <w:pStyle w:val="0"/>
        <w:spacing w:line="360" w:lineRule="exact"/>
        <w:rPr>
          <w:rFonts w:hint="eastAsia" w:ascii="ＭＳ 明朝" w:hAnsi="ＭＳ 明朝"/>
          <w:color w:val="000000" w:themeColor="text1"/>
          <w:sz w:val="28"/>
        </w:rPr>
      </w:pPr>
      <w:r>
        <w:rPr>
          <w:rFonts w:hint="eastAsia" w:ascii="ＭＳ ゴシック" w:hAnsi="ＭＳ ゴシック" w:eastAsia="ＭＳ ゴシック"/>
          <w:color w:val="000000" w:themeColor="text1"/>
          <w:sz w:val="22"/>
        </w:rPr>
        <w:t>　　　　　本工事において、受注者は法定外の労災保険に付さなければならない。</w:t>
      </w:r>
    </w:p>
    <w:p>
      <w:pPr>
        <w:pStyle w:val="0"/>
        <w:spacing w:line="360" w:lineRule="exact"/>
        <w:ind w:left="1001" w:hanging="1001" w:hangingChars="400"/>
        <w:rPr>
          <w:rFonts w:hint="default" w:ascii="ＭＳ ゴシック" w:hAnsi="ＭＳ ゴシック" w:eastAsia="ＭＳ ゴシック"/>
          <w:color w:val="000000" w:themeColor="text1"/>
          <w:sz w:val="22"/>
        </w:rPr>
      </w:pPr>
      <w:r>
        <w:rPr>
          <w:rFonts w:hint="eastAsia" w:ascii="ＭＳ ゴシック" w:hAnsi="ＭＳ ゴシック" w:eastAsia="ＭＳ ゴシック"/>
          <w:b w:val="1"/>
          <w:i w:val="1"/>
          <w:color w:val="000000" w:themeColor="text1"/>
          <w:sz w:val="24"/>
        </w:rPr>
        <w:t>　　　　</w:t>
      </w:r>
      <w:r>
        <w:rPr>
          <w:rFonts w:hint="eastAsia" w:ascii="ＭＳ ゴシック" w:hAnsi="ＭＳ ゴシック" w:eastAsia="ＭＳ ゴシック"/>
          <w:color w:val="000000" w:themeColor="text1"/>
          <w:sz w:val="22"/>
        </w:rPr>
        <w:t>※法定外の労災保険とは、業務や通勤に起因した労働者の負傷、疾病、障害、死亡などに対して、労働者災害補償保険法</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労災保法</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による労災補償給付とは別に、企業が独自の立場から補償給付の上積みを行うための保険をいう</w:t>
      </w:r>
    </w:p>
    <w:p>
      <w:pPr>
        <w:pStyle w:val="0"/>
        <w:spacing w:line="360" w:lineRule="exact"/>
        <w:ind w:left="917" w:hanging="917" w:hangingChars="400"/>
        <w:rPr>
          <w:rFonts w:hint="eastAsia" w:ascii="ＭＳ ゴシック" w:hAnsi="ＭＳ ゴシック" w:eastAsia="ＭＳ ゴシック"/>
          <w:color w:val="000000" w:themeColor="text1"/>
          <w:sz w:val="22"/>
        </w:rPr>
      </w:pPr>
    </w:p>
    <w:p>
      <w:pPr>
        <w:pStyle w:val="0"/>
        <w:spacing w:line="360" w:lineRule="exact"/>
        <w:ind w:left="917" w:hanging="917" w:hangingChars="400"/>
        <w:rPr>
          <w:rFonts w:hint="eastAsia" w:ascii="ＭＳ ゴシック" w:hAnsi="ＭＳ ゴシック" w:eastAsia="ＭＳ ゴシック"/>
          <w:color w:val="000000" w:themeColor="text1"/>
          <w:sz w:val="22"/>
        </w:rPr>
      </w:pPr>
    </w:p>
    <w:p>
      <w:pPr>
        <w:pStyle w:val="0"/>
        <w:spacing w:line="360" w:lineRule="exact"/>
        <w:ind w:left="917" w:hanging="917" w:hangingChars="400"/>
        <w:rPr>
          <w:rFonts w:hint="eastAsia" w:ascii="ＭＳ ゴシック" w:hAnsi="ＭＳ ゴシック" w:eastAsia="ＭＳ ゴシック"/>
          <w:color w:val="000000" w:themeColor="text1"/>
          <w:sz w:val="22"/>
        </w:rPr>
      </w:pPr>
    </w:p>
    <w:p>
      <w:pPr>
        <w:pStyle w:val="0"/>
        <w:spacing w:line="360" w:lineRule="exact"/>
        <w:ind w:left="0" w:leftChars="0" w:firstLine="498" w:firstLineChars="200"/>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２．現場作業期間及び施工条件について</w:t>
      </w:r>
    </w:p>
    <w:p>
      <w:pPr>
        <w:pStyle w:val="0"/>
        <w:spacing w:line="360" w:lineRule="exact"/>
        <w:ind w:left="1096" w:leftChars="400" w:hanging="219"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施工にあたっては市監督員と連絡・調整を行い、安全面に十分注意した工事計画を立て、作業エリアごとに作業期間や作業手順等を明確にした工程</w:t>
      </w:r>
    </w:p>
    <w:p>
      <w:pPr>
        <w:pStyle w:val="0"/>
        <w:spacing w:line="360" w:lineRule="exact"/>
        <w:ind w:left="0" w:leftChars="0" w:firstLine="658" w:firstLineChars="3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表を作成し承諾を受けること。</w:t>
      </w:r>
    </w:p>
    <w:p>
      <w:pPr>
        <w:pStyle w:val="0"/>
        <w:spacing w:line="360" w:lineRule="exact"/>
        <w:ind w:leftChars="0" w:firstLineChars="0"/>
        <w:rPr>
          <w:rFonts w:hint="eastAsia" w:ascii="ＭＳ Ｐゴシック" w:hAnsi="ＭＳ Ｐゴシック" w:eastAsia="ＭＳ Ｐゴシック"/>
          <w:b w:val="1"/>
          <w:color w:val="000000" w:themeColor="text1"/>
        </w:rPr>
      </w:pPr>
    </w:p>
    <w:p>
      <w:pPr>
        <w:pStyle w:val="0"/>
        <w:spacing w:line="360" w:lineRule="exact"/>
        <w:ind w:left="0" w:leftChars="0" w:firstLine="498" w:firstLineChars="200"/>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３．安全対策と工期について</w:t>
      </w:r>
    </w:p>
    <w:p>
      <w:pPr>
        <w:pStyle w:val="0"/>
        <w:spacing w:line="360" w:lineRule="exact"/>
        <w:ind w:left="658" w:leftChars="300" w:firstLine="219" w:firstLineChars="100"/>
        <w:rPr>
          <w:rFonts w:hint="default" w:ascii="ＭＳ Ｐゴシック" w:hAnsi="ＭＳ Ｐゴシック" w:eastAsia="ＭＳ Ｐゴシック"/>
          <w:color w:val="000000" w:themeColor="text1"/>
          <w:u w:val="wave" w:color="auto"/>
        </w:rPr>
      </w:pPr>
      <w:r>
        <w:rPr>
          <w:rFonts w:hint="eastAsia" w:ascii="ＭＳ Ｐゴシック" w:hAnsi="ＭＳ Ｐゴシック" w:eastAsia="ＭＳ Ｐゴシック"/>
          <w:color w:val="000000" w:themeColor="text1"/>
        </w:rPr>
        <w:t>施工にあたっては近隣及び通行人、施設利用者</w:t>
      </w:r>
      <w:bookmarkStart w:id="0" w:name="_GoBack"/>
      <w:bookmarkEnd w:id="0"/>
      <w:r>
        <w:rPr>
          <w:rFonts w:hint="eastAsia" w:ascii="ＭＳ Ｐゴシック" w:hAnsi="ＭＳ Ｐゴシック" w:eastAsia="ＭＳ Ｐゴシック"/>
          <w:color w:val="000000" w:themeColor="text1"/>
        </w:rPr>
        <w:t>等安全面に十分注意した工事計画を立て、作業ごとに作業期間や作業手順等を明確にした工程表を作成し承諾を受けること。また、</w:t>
      </w:r>
      <w:r>
        <w:rPr>
          <w:rFonts w:hint="eastAsia" w:ascii="ＭＳ Ｐゴシック" w:hAnsi="ＭＳ Ｐゴシック" w:eastAsia="ＭＳ Ｐゴシック"/>
          <w:color w:val="000000" w:themeColor="text1"/>
          <w:u w:val="wave" w:color="auto"/>
        </w:rPr>
        <w:t>監督職員との工程管理協議を密にし極力工期短縮に努めること。</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sectPr>
      <w:footerReference r:id="rId5" w:type="default"/>
      <w:pgSz w:w="16838" w:h="11906" w:orient="landscape"/>
      <w:pgMar w:top="851" w:right="1134" w:bottom="567" w:left="1134" w:header="851" w:footer="283" w:gutter="0"/>
      <w:pgNumType w:fmt="decimalFullWidth" w:start="1"/>
      <w:cols w:space="720"/>
      <w:textDirection w:val="lrTb"/>
      <w:docGrid w:type="linesAndChars" w:linePitch="291" w:charSpace="1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PGothic">
    <w:panose1 w:val="00000000000000000000"/>
    <w:charset w:val="80"/>
    <w:family w:val="auto"/>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2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r>
      <w:rPr>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imes New Roman" w:hAnsi="Times New Roman"/>
        <w:kern w:val="0"/>
      </w:rPr>
      <w:t>１</w:t>
    </w:r>
    <w:r>
      <w:rPr>
        <w:rFonts w:hint="eastAsia"/>
      </w:rPr>
      <w:fldChar w:fldCharType="end"/>
    </w:r>
    <w:r>
      <w:rPr>
        <w:rFonts w:hint="default" w:ascii="Times New Roman" w:hAnsi="Times New Roman"/>
        <w:kern w:val="0"/>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oNotHyphenateCaps/>
  <w:drawingGridHorizontalSpacing w:val="219"/>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Hyperlink"/>
    <w:next w:val="19"/>
    <w:link w:val="0"/>
    <w:uiPriority w:val="0"/>
    <w:rPr>
      <w:color w:val="0000FF"/>
      <w:u w:val="single" w:color="auto"/>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2</Pages>
  <Words>4</Words>
  <Characters>805</Characters>
  <Application>JUST Note</Application>
  <Lines>36</Lines>
  <Paragraphs>23</Paragraphs>
  <Company>鹿沼市</Company>
  <CharactersWithSpaces>825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　事　仕　様　書</dc:title>
  <dc:creator>鹿沼市</dc:creator>
  <cp:lastModifiedBy>鈴木　栄仁</cp:lastModifiedBy>
  <cp:lastPrinted>2023-04-11T01:45:00Z</cp:lastPrinted>
  <dcterms:created xsi:type="dcterms:W3CDTF">2018-02-16T11:26:00Z</dcterms:created>
  <dcterms:modified xsi:type="dcterms:W3CDTF">2025-08-19T04:42:16Z</dcterms:modified>
  <cp:revision>35</cp:revision>
</cp:coreProperties>
</file>