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鹿沼市花木センター施設内建築物等解体工事簡易公募型プロポーザル</w:t>
      </w:r>
    </w:p>
    <w:p>
      <w:pPr>
        <w:pStyle w:val="0"/>
        <w:jc w:val="center"/>
        <w:rPr>
          <w:rFonts w:hint="default"/>
        </w:rPr>
      </w:pPr>
      <w:r>
        <w:rPr>
          <w:rFonts w:hint="eastAsia"/>
          <w:b w:val="1"/>
          <w:sz w:val="22"/>
        </w:rPr>
        <w:t>質問回答書</w:t>
      </w:r>
    </w:p>
    <w:p>
      <w:pPr>
        <w:pStyle w:val="0"/>
        <w:jc w:val="right"/>
        <w:rPr>
          <w:rFonts w:hint="default"/>
        </w:rPr>
      </w:pPr>
    </w:p>
    <w:p>
      <w:pPr>
        <w:pStyle w:val="0"/>
        <w:jc w:val="right"/>
        <w:rPr>
          <w:rFonts w:hint="default"/>
        </w:rPr>
      </w:pPr>
      <w:r>
        <w:rPr>
          <w:rFonts w:hint="eastAsia"/>
        </w:rPr>
        <w:t>令和７年</w:t>
      </w:r>
      <w:r>
        <w:rPr>
          <w:rFonts w:hint="eastAsia"/>
        </w:rPr>
        <w:t>10</w:t>
      </w:r>
      <w:r>
        <w:rPr>
          <w:rFonts w:hint="eastAsia"/>
        </w:rPr>
        <w:t>月</w:t>
      </w:r>
      <w:r>
        <w:rPr>
          <w:rFonts w:hint="eastAsia"/>
        </w:rPr>
        <w:t>8</w:t>
      </w:r>
      <w:r>
        <w:rPr>
          <w:rFonts w:hint="eastAsia"/>
        </w:rPr>
        <w:t>日</w:t>
      </w:r>
    </w:p>
    <w:p>
      <w:pPr>
        <w:pStyle w:val="0"/>
        <w:jc w:val="right"/>
        <w:rPr>
          <w:rFonts w:hint="default"/>
        </w:rPr>
      </w:pPr>
      <w:r>
        <w:rPr>
          <w:rFonts w:hint="eastAsia"/>
        </w:rPr>
        <w:t>鹿沼市</w:t>
      </w:r>
      <w:bookmarkStart w:id="0" w:name="_GoBack"/>
      <w:bookmarkEnd w:id="0"/>
      <w:r>
        <w:rPr>
          <w:rFonts w:hint="eastAsia"/>
        </w:rPr>
        <w:t>総合政策部地域課題対策課</w:t>
      </w:r>
    </w:p>
    <w:p>
      <w:pPr>
        <w:pStyle w:val="0"/>
        <w:ind w:right="210" w:rightChars="100"/>
        <w:jc w:val="left"/>
        <w:rPr>
          <w:rFonts w:hint="default"/>
        </w:rPr>
      </w:pPr>
      <w:r>
        <w:rPr>
          <w:rFonts w:hint="eastAsia"/>
        </w:rPr>
        <w:t>質問受付順</w:t>
      </w:r>
    </w:p>
    <w:tbl>
      <w:tblPr>
        <w:tblStyle w:val="17"/>
        <w:tblW w:w="0" w:type="auto"/>
        <w:jc w:val="center"/>
        <w:tblInd w:w="0" w:type="dxa"/>
        <w:tblLayout w:type="fixed"/>
        <w:tblLook w:firstRow="1" w:lastRow="0" w:firstColumn="1" w:lastColumn="0" w:noHBand="0" w:noVBand="1" w:val="04A0"/>
      </w:tblPr>
      <w:tblGrid>
        <w:gridCol w:w="835"/>
        <w:gridCol w:w="4620"/>
        <w:gridCol w:w="4181"/>
      </w:tblGrid>
      <w:tr>
        <w:trPr/>
        <w:tc>
          <w:tcPr>
            <w:tcW w:w="835" w:type="dxa"/>
            <w:shd w:val="clear" w:color="auto" w:themeFill="background1" w:themeFillTint="FF" w:themeFillShade="C0"/>
            <w:vAlign w:val="top"/>
          </w:tcPr>
          <w:p>
            <w:pPr>
              <w:pStyle w:val="0"/>
              <w:jc w:val="center"/>
              <w:rPr>
                <w:rFonts w:hint="default"/>
              </w:rPr>
            </w:pPr>
            <w:r>
              <w:rPr>
                <w:rFonts w:hint="eastAsia"/>
              </w:rPr>
              <w:t>No</w:t>
            </w:r>
          </w:p>
        </w:tc>
        <w:tc>
          <w:tcPr>
            <w:tcW w:w="4620" w:type="dxa"/>
            <w:shd w:val="clear" w:color="auto" w:themeFill="background1" w:themeFillTint="FF" w:themeFillShade="C0"/>
            <w:vAlign w:val="top"/>
          </w:tcPr>
          <w:p>
            <w:pPr>
              <w:pStyle w:val="0"/>
              <w:jc w:val="center"/>
              <w:rPr>
                <w:rFonts w:hint="default"/>
              </w:rPr>
            </w:pPr>
            <w:r>
              <w:rPr>
                <w:rFonts w:hint="eastAsia"/>
              </w:rPr>
              <w:t>質　問</w:t>
            </w:r>
          </w:p>
        </w:tc>
        <w:tc>
          <w:tcPr>
            <w:tcW w:w="4181" w:type="dxa"/>
            <w:shd w:val="clear" w:color="auto" w:themeFill="background1" w:themeFillTint="FF" w:themeFillShade="C0"/>
            <w:vAlign w:val="top"/>
          </w:tcPr>
          <w:p>
            <w:pPr>
              <w:pStyle w:val="0"/>
              <w:jc w:val="center"/>
              <w:rPr>
                <w:rFonts w:hint="default"/>
              </w:rPr>
            </w:pPr>
            <w:r>
              <w:rPr>
                <w:rFonts w:hint="eastAsia"/>
              </w:rPr>
              <w:t>回　答</w:t>
            </w:r>
          </w:p>
        </w:tc>
      </w:tr>
      <w:tr>
        <w:trPr/>
        <w:tc>
          <w:tcPr>
            <w:tcW w:w="835" w:type="dxa"/>
            <w:vAlign w:val="center"/>
          </w:tcPr>
          <w:p>
            <w:pPr>
              <w:pStyle w:val="0"/>
              <w:jc w:val="center"/>
              <w:rPr>
                <w:rFonts w:hint="default"/>
              </w:rPr>
            </w:pPr>
            <w:r>
              <w:rPr>
                <w:rFonts w:hint="eastAsia"/>
              </w:rPr>
              <w:t>1</w:t>
            </w:r>
          </w:p>
        </w:tc>
        <w:tc>
          <w:tcPr>
            <w:tcW w:w="4620" w:type="dxa"/>
            <w:vAlign w:val="top"/>
          </w:tcPr>
          <w:p>
            <w:pPr>
              <w:pStyle w:val="0"/>
              <w:rPr>
                <w:rFonts w:hint="default"/>
              </w:rPr>
            </w:pPr>
            <w:r>
              <w:rPr>
                <w:rFonts w:hint="eastAsia"/>
              </w:rPr>
              <w:t>場内の解体建物廻りの仮囲いの種類及び延長等の指定はございますか。</w:t>
            </w:r>
          </w:p>
        </w:tc>
        <w:tc>
          <w:tcPr>
            <w:tcW w:w="4181" w:type="dxa"/>
            <w:vAlign w:val="top"/>
          </w:tcPr>
          <w:p>
            <w:pPr>
              <w:pStyle w:val="0"/>
              <w:rPr>
                <w:rFonts w:hint="default"/>
                <w:color w:val="auto"/>
              </w:rPr>
            </w:pPr>
            <w:r>
              <w:rPr>
                <w:rFonts w:hint="eastAsia"/>
                <w:color w:val="auto"/>
              </w:rPr>
              <w:t>解体工事期間中は下段を閉鎖し、一般の来場者の出入りはなくなるため、仮囲いや延長についてはお任せする。市側では指定しない。</w:t>
            </w:r>
          </w:p>
        </w:tc>
      </w:tr>
      <w:tr>
        <w:trPr/>
        <w:tc>
          <w:tcPr>
            <w:tcW w:w="835" w:type="dxa"/>
            <w:vAlign w:val="center"/>
          </w:tcPr>
          <w:p>
            <w:pPr>
              <w:pStyle w:val="0"/>
              <w:jc w:val="center"/>
              <w:rPr>
                <w:rFonts w:hint="default"/>
              </w:rPr>
            </w:pPr>
            <w:r>
              <w:rPr>
                <w:rFonts w:hint="eastAsia"/>
              </w:rPr>
              <w:t>2</w:t>
            </w:r>
          </w:p>
        </w:tc>
        <w:tc>
          <w:tcPr>
            <w:tcW w:w="4620" w:type="dxa"/>
            <w:vAlign w:val="top"/>
          </w:tcPr>
          <w:p>
            <w:pPr>
              <w:pStyle w:val="0"/>
              <w:rPr>
                <w:rFonts w:hint="default"/>
              </w:rPr>
            </w:pPr>
            <w:r>
              <w:rPr>
                <w:rFonts w:hint="eastAsia"/>
              </w:rPr>
              <w:t>敷地内公衆トイレの使用は可能ですか。</w:t>
            </w:r>
          </w:p>
        </w:tc>
        <w:tc>
          <w:tcPr>
            <w:tcW w:w="4181" w:type="dxa"/>
            <w:vAlign w:val="top"/>
          </w:tcPr>
          <w:p>
            <w:pPr>
              <w:pStyle w:val="0"/>
              <w:rPr>
                <w:rFonts w:hint="default"/>
                <w:color w:val="auto"/>
              </w:rPr>
            </w:pPr>
            <w:r>
              <w:rPr>
                <w:rFonts w:hint="eastAsia"/>
                <w:color w:val="auto"/>
              </w:rPr>
              <w:t>可能である。</w:t>
            </w:r>
          </w:p>
          <w:p>
            <w:pPr>
              <w:pStyle w:val="0"/>
              <w:rPr>
                <w:rFonts w:hint="default"/>
                <w:color w:val="auto"/>
              </w:rPr>
            </w:pPr>
            <w:r>
              <w:rPr>
                <w:rFonts w:hint="eastAsia"/>
                <w:color w:val="auto"/>
              </w:rPr>
              <w:t>ただし、一般の来場者の使用は質問</w:t>
            </w:r>
            <w:r>
              <w:rPr>
                <w:rFonts w:hint="eastAsia"/>
                <w:color w:val="auto"/>
              </w:rPr>
              <w:t>No</w:t>
            </w:r>
            <w:r>
              <w:rPr>
                <w:rFonts w:hint="eastAsia"/>
                <w:color w:val="auto"/>
              </w:rPr>
              <w:t>１の対応をするため不可能。解体工事に関連する業者の方のみ使用は可能。</w:t>
            </w:r>
          </w:p>
        </w:tc>
      </w:tr>
    </w:tbl>
    <w:p>
      <w:pPr>
        <w:pStyle w:val="0"/>
        <w:ind w:right="210" w:rightChars="100"/>
        <w:jc w:val="left"/>
        <w:rPr>
          <w:rFonts w:hint="default"/>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UD デジタル 教科書体 NK-R"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6</Words>
  <Characters>250</Characters>
  <Application>JUST Note</Application>
  <Lines>22</Lines>
  <Paragraphs>15</Paragraphs>
  <CharactersWithSpaces>252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関根　光樹</dc:creator>
  <cp:lastModifiedBy>福田　菜月</cp:lastModifiedBy>
  <dcterms:created xsi:type="dcterms:W3CDTF">2025-06-16T03:00:00Z</dcterms:created>
  <dcterms:modified xsi:type="dcterms:W3CDTF">2025-10-08T01:56:53Z</dcterms:modified>
  <cp:revision>11</cp:revision>
</cp:coreProperties>
</file>